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Ind w:w="-108" w:type="dxa"/>
        <w:tblLook w:val="0000" w:firstRow="0" w:lastRow="0" w:firstColumn="0" w:lastColumn="0" w:noHBand="0" w:noVBand="0"/>
      </w:tblPr>
      <w:tblGrid>
        <w:gridCol w:w="10029"/>
      </w:tblGrid>
      <w:tr>
        <w:tblPrEx/>
        <w:trPr>
          <w:trHeight w:val="1075"/>
        </w:trPr>
        <w:tc>
          <w:tcPr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  <w:r>
              <w:rPr>
                <w:rFonts w:ascii="Times New Roman" w:hAnsi="Times New Roman" w:eastAsia="Times New Roman" w:cs="Times New Roman"/>
                <w:sz w:val="2"/>
                <w:szCs w:val="2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проверки,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осуществленной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юстиции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в рамках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ведомственного контроля за соблюдением в подведомственн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 06»  июня  </w:t>
      </w:r>
      <w:r>
        <w:rPr>
          <w:rFonts w:ascii="Times New Roman" w:hAnsi="Times New Roman" w:cs="Times New Roman"/>
          <w:sz w:val="27"/>
          <w:szCs w:val="27"/>
        </w:rPr>
        <w:t xml:space="preserve">20</w:t>
      </w:r>
      <w:r>
        <w:rPr>
          <w:rFonts w:ascii="Times New Roman" w:hAnsi="Times New Roman" w:cs="Times New Roman"/>
          <w:sz w:val="27"/>
          <w:szCs w:val="27"/>
        </w:rPr>
        <w:t xml:space="preserve">25</w:t>
      </w:r>
      <w:r>
        <w:rPr>
          <w:rFonts w:ascii="Times New Roman" w:hAnsi="Times New Roman" w:cs="Times New Roman"/>
          <w:sz w:val="27"/>
          <w:szCs w:val="27"/>
        </w:rPr>
        <w:t xml:space="preserve">г.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приказом </w:t>
      </w:r>
      <w:r>
        <w:rPr>
          <w:rFonts w:ascii="Times New Roman" w:hAnsi="Times New Roman"/>
          <w:sz w:val="28"/>
          <w:szCs w:val="28"/>
        </w:rPr>
        <w:t xml:space="preserve">министерства юстиции Новосибирской области </w:t>
      </w:r>
      <w:r>
        <w:rPr>
          <w:rFonts w:ascii="Times New Roman" w:hAnsi="Times New Roman"/>
          <w:sz w:val="28"/>
          <w:szCs w:val="28"/>
          <w:u w:val="none"/>
        </w:rPr>
        <w:t xml:space="preserve">от 28.04.2025 № 7</w:t>
      </w:r>
      <w:r>
        <w:rPr>
          <w:rFonts w:ascii="Times New Roman" w:hAnsi="Times New Roman"/>
          <w:sz w:val="28"/>
          <w:szCs w:val="28"/>
          <w:u w:val="non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контрольное мероприятие</w:t>
      </w:r>
      <w:r>
        <w:rPr>
          <w:rStyle w:val="88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ведомственного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контроля за соблюдением в подведомственной организации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Закон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от 02.05.2017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 161-ОЗ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права, в Новосибирской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государственное казенное учреждение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«Государственное юридическое бюро".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Проверка проведена по месту нахождения государственного учреждения: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г. Новосибирск, Красный проспект, д. 35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          Срок проведения проверки: с 29.04.2025 по 29.05.2025.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В ходе проверки выявлены следующие нарушения: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02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В нарушение части 2 статьи 57 Трудового кодекса Российской Федерации в трудовые договоры работников не включены обязательные условия: условия о трудовой функции, условия труда на рабочем месте.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02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Разделом 7 Положения об оплате труда работников государственного казенного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 учреждения Новосибирской области «Государственное юридическое бюро» предусмотрены выплаты, не установленные Положением об оплате труда работников государственных учреждений Новосибирской области, подведомственных министерству юстиции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firstLine="709"/>
        <w:jc w:val="center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5"/>
        <w:rPr>
          <w:rFonts w:ascii="Times New Roman" w:hAnsi="Times New Roman" w:cs="Times New Roman"/>
          <w:szCs w:val="18"/>
        </w:rPr>
      </w:pPr>
      <w:r>
        <w:rPr>
          <w:rStyle w:val="887"/>
        </w:rPr>
        <w:footnoteRef/>
      </w:r>
      <w:r>
        <w:t xml:space="preserve"> </w:t>
      </w:r>
      <w:r>
        <w:rPr>
          <w:rFonts w:ascii="Times New Roman" w:hAnsi="Times New Roman" w:cs="Times New Roman"/>
          <w:szCs w:val="18"/>
        </w:rPr>
        <w:t xml:space="preserve">Плановая (внеплановая) проверка</w:t>
      </w:r>
      <w:r>
        <w:rPr>
          <w:rFonts w:ascii="Times New Roman" w:hAnsi="Times New Roman" w:cs="Times New Roman"/>
          <w:szCs w:val="18"/>
        </w:rPr>
      </w:r>
      <w:r>
        <w:rPr>
          <w:rFonts w:ascii="Times New Roman" w:hAnsi="Times New Roman" w:cs="Times New Roman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2757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2757"/>
      <w:numFmt w:val="bullet"/>
      <w:isLgl w:val="false"/>
      <w:suff w:val="tab"/>
      <w:lvlText w:val="–"/>
      <w:lvlJc w:val="left"/>
      <w:pPr>
        <w:ind w:left="117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1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03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3"/>
    <w:link w:val="746"/>
    <w:uiPriority w:val="10"/>
    <w:rPr>
      <w:sz w:val="48"/>
      <w:szCs w:val="48"/>
    </w:rPr>
  </w:style>
  <w:style w:type="character" w:styleId="717">
    <w:name w:val="Quote Char"/>
    <w:link w:val="749"/>
    <w:uiPriority w:val="29"/>
    <w:rPr>
      <w:i/>
    </w:rPr>
  </w:style>
  <w:style w:type="character" w:styleId="718">
    <w:name w:val="Intense Quote Char"/>
    <w:link w:val="751"/>
    <w:uiPriority w:val="30"/>
    <w:rPr>
      <w:i/>
    </w:rPr>
  </w:style>
  <w:style w:type="character" w:styleId="719">
    <w:name w:val="Header Char"/>
    <w:basedOn w:val="733"/>
    <w:link w:val="753"/>
    <w:uiPriority w:val="99"/>
  </w:style>
  <w:style w:type="character" w:styleId="720">
    <w:name w:val="Caption Char"/>
    <w:basedOn w:val="757"/>
    <w:link w:val="755"/>
    <w:uiPriority w:val="99"/>
  </w:style>
  <w:style w:type="character" w:styleId="721">
    <w:name w:val="Footnote Text Char"/>
    <w:link w:val="885"/>
    <w:uiPriority w:val="99"/>
    <w:rPr>
      <w:sz w:val="18"/>
    </w:rPr>
  </w:style>
  <w:style w:type="character" w:styleId="722">
    <w:name w:val="Endnote Text Char"/>
    <w:link w:val="888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90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23"/>
    <w:next w:val="723"/>
    <w:link w:val="747"/>
    <w:uiPriority w:val="10"/>
    <w:qFormat/>
    <w:pPr>
      <w:contextualSpacing/>
      <w:spacing w:before="300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rPr>
      <w:sz w:val="48"/>
      <w:szCs w:val="48"/>
    </w:rPr>
  </w:style>
  <w:style w:type="character" w:styleId="748" w:customStyle="1">
    <w:name w:val="Subtitle Char"/>
    <w:basedOn w:val="733"/>
    <w:uiPriority w:val="11"/>
    <w:rPr>
      <w:sz w:val="24"/>
      <w:szCs w:val="24"/>
    </w:rPr>
  </w:style>
  <w:style w:type="paragraph" w:styleId="749">
    <w:name w:val="Quote"/>
    <w:basedOn w:val="723"/>
    <w:next w:val="723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3"/>
    <w:next w:val="723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basedOn w:val="733"/>
    <w:link w:val="753"/>
    <w:uiPriority w:val="99"/>
  </w:style>
  <w:style w:type="paragraph" w:styleId="755">
    <w:name w:val="Footer"/>
    <w:basedOn w:val="723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basedOn w:val="733"/>
    <w:uiPriority w:val="99"/>
  </w:style>
  <w:style w:type="paragraph" w:styleId="757">
    <w:name w:val="Caption"/>
    <w:basedOn w:val="723"/>
    <w:next w:val="72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723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33"/>
    <w:uiPriority w:val="99"/>
    <w:unhideWhenUsed/>
    <w:rPr>
      <w:vertAlign w:val="superscript"/>
    </w:rPr>
  </w:style>
  <w:style w:type="paragraph" w:styleId="888">
    <w:name w:val="endnote text"/>
    <w:basedOn w:val="723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33"/>
    <w:uiPriority w:val="99"/>
    <w:semiHidden/>
    <w:unhideWhenUsed/>
    <w:rPr>
      <w:vertAlign w:val="superscript"/>
    </w:rPr>
  </w:style>
  <w:style w:type="paragraph" w:styleId="891">
    <w:name w:val="toc 1"/>
    <w:basedOn w:val="723"/>
    <w:next w:val="723"/>
    <w:uiPriority w:val="39"/>
    <w:unhideWhenUsed/>
    <w:pPr>
      <w:spacing w:after="57"/>
    </w:pPr>
  </w:style>
  <w:style w:type="paragraph" w:styleId="892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3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4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5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6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7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8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899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3"/>
    <w:next w:val="723"/>
    <w:uiPriority w:val="99"/>
    <w:unhideWhenUsed/>
    <w:pPr>
      <w:spacing w:after="0"/>
    </w:pPr>
  </w:style>
  <w:style w:type="paragraph" w:styleId="902">
    <w:name w:val="List Paragraph"/>
    <w:basedOn w:val="723"/>
    <w:uiPriority w:val="34"/>
    <w:qFormat/>
    <w:pPr>
      <w:contextualSpacing/>
      <w:ind w:left="720"/>
    </w:pPr>
  </w:style>
  <w:style w:type="character" w:styleId="903" w:customStyle="1">
    <w:name w:val="Заголовок 1 Знак"/>
    <w:basedOn w:val="733"/>
    <w:link w:val="72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904">
    <w:name w:val="Table Grid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05">
    <w:name w:val="Document Map"/>
    <w:basedOn w:val="723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Схема документа Знак"/>
    <w:basedOn w:val="733"/>
    <w:link w:val="905"/>
    <w:uiPriority w:val="99"/>
    <w:semiHidden/>
    <w:rPr>
      <w:rFonts w:ascii="Tahoma" w:hAnsi="Tahoma" w:cs="Tahoma"/>
      <w:sz w:val="16"/>
      <w:szCs w:val="16"/>
    </w:rPr>
  </w:style>
  <w:style w:type="paragraph" w:styleId="907">
    <w:name w:val="Subtitle"/>
    <w:basedOn w:val="723"/>
    <w:next w:val="723"/>
    <w:link w:val="908"/>
    <w:uiPriority w:val="99"/>
    <w:qFormat/>
    <w:pPr>
      <w:ind w:right="27"/>
      <w:jc w:val="center"/>
      <w:spacing w:after="0" w:line="240" w:lineRule="auto"/>
    </w:pPr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908" w:customStyle="1">
    <w:name w:val="Подзаголовок Знак"/>
    <w:basedOn w:val="733"/>
    <w:link w:val="907"/>
    <w:uiPriority w:val="99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909" w:customStyle="1">
    <w:name w:val="Обычный1"/>
    <w:uiPriority w:val="99"/>
    <w:pPr>
      <w:spacing w:before="100" w:after="100" w:line="240" w:lineRule="auto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910">
    <w:name w:val="Balloon Text"/>
    <w:basedOn w:val="723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733"/>
    <w:link w:val="910"/>
    <w:uiPriority w:val="99"/>
    <w:semiHidden/>
    <w:rPr>
      <w:rFonts w:ascii="Tahoma" w:hAnsi="Tahoma" w:cs="Tahoma"/>
      <w:sz w:val="16"/>
      <w:szCs w:val="16"/>
    </w:rPr>
  </w:style>
  <w:style w:type="paragraph" w:styleId="912">
    <w:name w:val="Body Text"/>
    <w:basedOn w:val="723"/>
    <w:link w:val="913"/>
    <w:uiPriority w:val="99"/>
    <w:pPr>
      <w:spacing w:after="120" w:line="240" w:lineRule="auto"/>
    </w:pPr>
    <w:rPr>
      <w:rFonts w:ascii="Calibri" w:hAnsi="Calibri" w:eastAsia="Times New Roman" w:cs="Times New Roman"/>
      <w:sz w:val="20"/>
      <w:szCs w:val="20"/>
      <w:lang w:eastAsia="ar-SA"/>
    </w:rPr>
  </w:style>
  <w:style w:type="character" w:styleId="913" w:customStyle="1">
    <w:name w:val="Основной текст Знак"/>
    <w:basedOn w:val="733"/>
    <w:link w:val="912"/>
    <w:uiPriority w:val="99"/>
    <w:rPr>
      <w:rFonts w:ascii="Calibri" w:hAnsi="Calibri" w:eastAsia="Times New Roman" w:cs="Times New Roman"/>
      <w:sz w:val="20"/>
      <w:szCs w:val="20"/>
      <w:lang w:eastAsia="ar-SA"/>
    </w:rPr>
  </w:style>
  <w:style w:type="table" w:styleId="914" w:customStyle="1">
    <w:name w:val="Сетка таблицы1"/>
    <w:basedOn w:val="734"/>
    <w:next w:val="90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15">
    <w:name w:val="annotation reference"/>
    <w:basedOn w:val="733"/>
    <w:uiPriority w:val="99"/>
    <w:semiHidden/>
    <w:unhideWhenUsed/>
    <w:rPr>
      <w:sz w:val="16"/>
      <w:szCs w:val="16"/>
    </w:rPr>
  </w:style>
  <w:style w:type="paragraph" w:styleId="916">
    <w:name w:val="annotation text"/>
    <w:basedOn w:val="723"/>
    <w:link w:val="9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7" w:customStyle="1">
    <w:name w:val="Текст примечания Знак"/>
    <w:basedOn w:val="733"/>
    <w:link w:val="916"/>
    <w:uiPriority w:val="99"/>
    <w:semiHidden/>
    <w:rPr>
      <w:sz w:val="20"/>
      <w:szCs w:val="20"/>
    </w:rPr>
  </w:style>
  <w:style w:type="paragraph" w:styleId="918">
    <w:name w:val="annotation subject"/>
    <w:basedOn w:val="916"/>
    <w:next w:val="916"/>
    <w:link w:val="919"/>
    <w:uiPriority w:val="99"/>
    <w:semiHidden/>
    <w:unhideWhenUsed/>
    <w:rPr>
      <w:b/>
      <w:bCs/>
    </w:rPr>
  </w:style>
  <w:style w:type="character" w:styleId="919" w:customStyle="1">
    <w:name w:val="Тема примечания Знак"/>
    <w:basedOn w:val="917"/>
    <w:link w:val="91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E686D-193E-4FD6-BD20-738CD485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ivch</dc:creator>
  <cp:revision>5</cp:revision>
  <dcterms:created xsi:type="dcterms:W3CDTF">2024-06-20T07:05:00Z</dcterms:created>
  <dcterms:modified xsi:type="dcterms:W3CDTF">2025-06-17T04:39:55Z</dcterms:modified>
</cp:coreProperties>
</file>